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DE" w:rsidRDefault="006F52E3" w:rsidP="000E48DE">
      <w:pPr>
        <w:jc w:val="right"/>
        <w:rPr>
          <w:b/>
        </w:rPr>
      </w:pPr>
      <w:r>
        <w:rPr>
          <w:b/>
        </w:rPr>
        <w:t>Załącznik nr 1b</w:t>
      </w:r>
      <w:r w:rsidR="000E48DE">
        <w:rPr>
          <w:b/>
        </w:rPr>
        <w:t xml:space="preserve"> – OPZ Część </w:t>
      </w:r>
      <w:r>
        <w:rPr>
          <w:b/>
        </w:rPr>
        <w:t>2</w:t>
      </w:r>
      <w:r w:rsidR="00D9319F">
        <w:rPr>
          <w:b/>
        </w:rPr>
        <w:t xml:space="preserve"> Pomoce brajlowskie POMOC</w:t>
      </w:r>
    </w:p>
    <w:p w:rsidR="000E48DE" w:rsidRPr="00692236" w:rsidRDefault="000E48DE" w:rsidP="000E48DE">
      <w:pPr>
        <w:rPr>
          <w:b/>
        </w:rPr>
      </w:pPr>
      <w:r w:rsidRPr="00692236">
        <w:rPr>
          <w:b/>
        </w:rPr>
        <w:t xml:space="preserve">Część </w:t>
      </w:r>
      <w:r w:rsidR="006F52E3">
        <w:rPr>
          <w:b/>
        </w:rPr>
        <w:t>2</w:t>
      </w:r>
      <w:r w:rsidRPr="00692236">
        <w:rPr>
          <w:b/>
        </w:rPr>
        <w:t xml:space="preserve"> – </w:t>
      </w:r>
      <w:r>
        <w:rPr>
          <w:b/>
        </w:rPr>
        <w:t xml:space="preserve">POMOCE BRAJLOWSKIE </w:t>
      </w:r>
      <w:r w:rsidR="006F52E3">
        <w:rPr>
          <w:b/>
        </w:rPr>
        <w:t>POMOC</w:t>
      </w:r>
    </w:p>
    <w:p w:rsidR="000E48DE" w:rsidRPr="00E53AEF" w:rsidRDefault="000E48DE" w:rsidP="000E48DE">
      <w:pPr>
        <w:numPr>
          <w:ilvl w:val="0"/>
          <w:numId w:val="11"/>
        </w:numPr>
        <w:spacing w:before="240"/>
        <w:ind w:left="426" w:hanging="426"/>
        <w:contextualSpacing/>
      </w:pPr>
      <w:r w:rsidRPr="00E53AEF">
        <w:t>Oznaczenia kodu CPV – Wspólnego Słownika Zamówień</w:t>
      </w:r>
    </w:p>
    <w:p w:rsidR="00E53AEF" w:rsidRPr="00E53AEF" w:rsidRDefault="00444815" w:rsidP="000E48DE">
      <w:pPr>
        <w:spacing w:after="0"/>
        <w:ind w:left="426"/>
      </w:pPr>
      <w:r w:rsidRPr="00E53AEF">
        <w:t>Główny kod CPV:</w:t>
      </w:r>
    </w:p>
    <w:p w:rsidR="000E48DE" w:rsidRPr="00E53AEF" w:rsidRDefault="00444815" w:rsidP="000E48DE">
      <w:pPr>
        <w:ind w:left="426"/>
      </w:pPr>
      <w:r w:rsidRPr="00E53AEF">
        <w:t>39162100-6 – Pomoce dydaktyczne</w:t>
      </w:r>
    </w:p>
    <w:p w:rsidR="00E53AEF" w:rsidRPr="00E53AEF" w:rsidRDefault="00444815" w:rsidP="000E48DE">
      <w:pPr>
        <w:spacing w:after="0"/>
        <w:ind w:left="426"/>
      </w:pPr>
      <w:r w:rsidRPr="00E53AEF">
        <w:t>Dodatkowe kody CPV:</w:t>
      </w:r>
    </w:p>
    <w:p w:rsidR="000E48DE" w:rsidRDefault="00444815" w:rsidP="000E48DE">
      <w:pPr>
        <w:spacing w:after="0"/>
        <w:ind w:left="426"/>
        <w:rPr>
          <w:bCs/>
        </w:rPr>
      </w:pPr>
      <w:r w:rsidRPr="00E53AEF">
        <w:rPr>
          <w:bCs/>
        </w:rPr>
        <w:t>39162000-5 – Pomoce naukowe</w:t>
      </w:r>
    </w:p>
    <w:p w:rsidR="000E48DE" w:rsidRDefault="000E48DE" w:rsidP="000E48DE">
      <w:pPr>
        <w:ind w:firstLine="426"/>
        <w:contextualSpacing/>
        <w:rPr>
          <w:bCs/>
        </w:rPr>
      </w:pPr>
      <w:r w:rsidRPr="000E48DE">
        <w:rPr>
          <w:bCs/>
        </w:rPr>
        <w:t>42900000-5 – Różne maszyny ogólnego i specjalnego przeznaczenia</w:t>
      </w:r>
    </w:p>
    <w:p w:rsidR="00366D2B" w:rsidRPr="00366D2B" w:rsidRDefault="00366D2B" w:rsidP="00366D2B">
      <w:pPr>
        <w:ind w:firstLine="426"/>
        <w:contextualSpacing/>
        <w:rPr>
          <w:bCs/>
        </w:rPr>
      </w:pPr>
      <w:r w:rsidRPr="00366D2B">
        <w:rPr>
          <w:bCs/>
        </w:rPr>
        <w:t>42962000-7 – Urządzenia drukujące i graficzne</w:t>
      </w:r>
    </w:p>
    <w:p w:rsidR="000E48DE" w:rsidRPr="00B46AE9" w:rsidRDefault="000E48DE" w:rsidP="000E48DE">
      <w:pPr>
        <w:pStyle w:val="Akapitzlist"/>
        <w:numPr>
          <w:ilvl w:val="0"/>
          <w:numId w:val="11"/>
        </w:numPr>
        <w:spacing w:after="0"/>
        <w:ind w:left="426" w:hanging="426"/>
      </w:pPr>
      <w:r w:rsidRPr="00B46AE9">
        <w:t>Przedmiotem zamówienia jest:</w:t>
      </w:r>
    </w:p>
    <w:p w:rsidR="00551009" w:rsidRDefault="000E48DE" w:rsidP="00551009">
      <w:pPr>
        <w:spacing w:after="0"/>
        <w:ind w:left="426"/>
        <w:contextualSpacing/>
      </w:pPr>
      <w:r w:rsidRPr="00B46AE9">
        <w:t>Przedmiotem zamówienia jest zakup i dostawa nowych pomocy brajlowskich tj</w:t>
      </w:r>
      <w:r w:rsidR="006F52E3">
        <w:t>.</w:t>
      </w:r>
      <w:r w:rsidRPr="00B46AE9">
        <w:t xml:space="preserve"> </w:t>
      </w:r>
      <w:r w:rsidR="00B46AE9" w:rsidRPr="00B46AE9">
        <w:t xml:space="preserve">powiększalnik </w:t>
      </w:r>
      <w:r w:rsidR="006F52E3">
        <w:t>stacjonarny.</w:t>
      </w:r>
    </w:p>
    <w:p w:rsidR="00551009" w:rsidRDefault="00551009" w:rsidP="00551009">
      <w:pPr>
        <w:spacing w:after="0"/>
        <w:ind w:left="426"/>
        <w:contextualSpacing/>
      </w:pPr>
    </w:p>
    <w:p w:rsidR="000E48DE" w:rsidRDefault="00551009" w:rsidP="00551009">
      <w:pPr>
        <w:pStyle w:val="Akapitzlist"/>
        <w:numPr>
          <w:ilvl w:val="0"/>
          <w:numId w:val="11"/>
        </w:numPr>
        <w:spacing w:after="0"/>
        <w:ind w:left="426"/>
      </w:pPr>
      <w:r w:rsidRPr="00551009">
        <w:t>Zakup finansowany z Budżetu Państwa</w:t>
      </w:r>
      <w:r w:rsidR="007F1E4F">
        <w:t xml:space="preserve"> ze środków Pomoc dla Ukrainy.</w:t>
      </w:r>
    </w:p>
    <w:p w:rsidR="00541BA8" w:rsidRPr="00551009" w:rsidRDefault="00541BA8" w:rsidP="00551009">
      <w:pPr>
        <w:pStyle w:val="Akapitzlist"/>
        <w:numPr>
          <w:ilvl w:val="0"/>
          <w:numId w:val="11"/>
        </w:numPr>
        <w:spacing w:after="0"/>
        <w:ind w:left="426"/>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B27E94" w:rsidRPr="00D8752C" w:rsidTr="00B27E94">
        <w:tc>
          <w:tcPr>
            <w:tcW w:w="567" w:type="dxa"/>
          </w:tcPr>
          <w:p w:rsidR="00B27E94" w:rsidRPr="00D8752C" w:rsidRDefault="006F52E3" w:rsidP="00630A56">
            <w:pPr>
              <w:spacing w:after="0" w:line="240" w:lineRule="auto"/>
              <w:rPr>
                <w:rFonts w:cstheme="minorHAnsi"/>
              </w:rPr>
            </w:pPr>
            <w:r>
              <w:rPr>
                <w:rFonts w:cstheme="minorHAnsi"/>
              </w:rPr>
              <w:t>1</w:t>
            </w:r>
          </w:p>
        </w:tc>
        <w:tc>
          <w:tcPr>
            <w:tcW w:w="7967" w:type="dxa"/>
          </w:tcPr>
          <w:p w:rsidR="00B27E94" w:rsidRPr="00B46AE9" w:rsidRDefault="00490DDD" w:rsidP="00630A56">
            <w:pPr>
              <w:spacing w:after="0" w:line="240" w:lineRule="auto"/>
              <w:rPr>
                <w:rFonts w:cstheme="minorHAnsi"/>
                <w:b/>
                <w:lang w:val="en-GB"/>
              </w:rPr>
            </w:pPr>
            <w:r w:rsidRPr="00B46AE9">
              <w:rPr>
                <w:rFonts w:cstheme="minorHAnsi"/>
                <w:b/>
              </w:rPr>
              <w:t>Powiększalnik</w:t>
            </w:r>
            <w:r w:rsidRPr="00B46AE9">
              <w:rPr>
                <w:rFonts w:cstheme="minorHAnsi"/>
                <w:b/>
                <w:lang w:val="en-GB"/>
              </w:rPr>
              <w:t xml:space="preserve"> </w:t>
            </w:r>
            <w:r w:rsidRPr="00B46AE9">
              <w:rPr>
                <w:rFonts w:cstheme="minorHAnsi"/>
                <w:b/>
              </w:rPr>
              <w:t>stacjonarny</w:t>
            </w:r>
          </w:p>
          <w:p w:rsidR="00490DDD" w:rsidRDefault="00490DDD" w:rsidP="00630A56">
            <w:pPr>
              <w:spacing w:after="0" w:line="240" w:lineRule="auto"/>
              <w:rPr>
                <w:rFonts w:cstheme="minorHAnsi"/>
                <w:lang w:val="en-GB"/>
              </w:rPr>
            </w:pPr>
          </w:p>
          <w:p w:rsidR="006F52E3" w:rsidRPr="006F52E3" w:rsidRDefault="006F52E3" w:rsidP="006F52E3">
            <w:pPr>
              <w:spacing w:after="0" w:line="240" w:lineRule="auto"/>
              <w:rPr>
                <w:rFonts w:cstheme="minorHAnsi"/>
              </w:rPr>
            </w:pPr>
            <w:r w:rsidRPr="006F52E3">
              <w:rPr>
                <w:rFonts w:cstheme="minorHAnsi"/>
              </w:rPr>
              <w:t>Powiększalnik stacjonarny - wyświetlacz jakości HD, min.24 cale,</w:t>
            </w:r>
          </w:p>
          <w:p w:rsidR="006F52E3" w:rsidRPr="006F52E3" w:rsidRDefault="006F52E3" w:rsidP="006F52E3">
            <w:pPr>
              <w:spacing w:after="0" w:line="240" w:lineRule="auto"/>
              <w:rPr>
                <w:rFonts w:cstheme="minorHAnsi"/>
              </w:rPr>
            </w:pPr>
            <w:r w:rsidRPr="006F52E3">
              <w:rPr>
                <w:rFonts w:cstheme="minorHAnsi"/>
              </w:rPr>
              <w:t>- technologia ustawienia ostrości, zapewnia ostry i komfortowy obraz nawet w przypadku słabej jakości dokumentów,</w:t>
            </w:r>
          </w:p>
          <w:p w:rsidR="006F52E3" w:rsidRPr="006F52E3" w:rsidRDefault="006F52E3" w:rsidP="006F52E3">
            <w:pPr>
              <w:spacing w:after="0" w:line="240" w:lineRule="auto"/>
              <w:rPr>
                <w:rFonts w:cstheme="minorHAnsi"/>
              </w:rPr>
            </w:pPr>
            <w:r w:rsidRPr="006F52E3">
              <w:rPr>
                <w:rFonts w:cstheme="minorHAnsi"/>
              </w:rPr>
              <w:t>- dostosowanie kąta nachylania ekranu.</w:t>
            </w:r>
          </w:p>
          <w:p w:rsidR="006F52E3" w:rsidRDefault="006F52E3" w:rsidP="006F52E3">
            <w:pPr>
              <w:spacing w:after="0" w:line="240" w:lineRule="auto"/>
              <w:rPr>
                <w:rFonts w:cstheme="minorHAnsi"/>
              </w:rPr>
            </w:pPr>
          </w:p>
          <w:p w:rsidR="006F52E3" w:rsidRPr="006F52E3" w:rsidRDefault="006F52E3" w:rsidP="006F52E3">
            <w:pPr>
              <w:spacing w:after="0" w:line="240" w:lineRule="auto"/>
              <w:rPr>
                <w:rFonts w:cstheme="minorHAnsi"/>
              </w:rPr>
            </w:pPr>
            <w:r w:rsidRPr="006F52E3">
              <w:rPr>
                <w:rFonts w:cstheme="minorHAnsi"/>
              </w:rPr>
              <w:t>Dane techniczne:</w:t>
            </w:r>
          </w:p>
          <w:p w:rsidR="006F52E3" w:rsidRPr="006F52E3" w:rsidRDefault="006F52E3" w:rsidP="006F52E3">
            <w:pPr>
              <w:spacing w:after="0" w:line="240" w:lineRule="auto"/>
              <w:rPr>
                <w:rFonts w:cstheme="minorHAnsi"/>
              </w:rPr>
            </w:pPr>
            <w:r w:rsidRPr="006F52E3">
              <w:rPr>
                <w:rFonts w:cstheme="minorHAnsi"/>
              </w:rPr>
              <w:t>- ekran: min. 24 cale LCD,</w:t>
            </w:r>
          </w:p>
          <w:p w:rsidR="006F52E3" w:rsidRPr="006F52E3" w:rsidRDefault="006F52E3" w:rsidP="006F52E3">
            <w:pPr>
              <w:spacing w:after="0" w:line="240" w:lineRule="auto"/>
              <w:rPr>
                <w:rFonts w:cstheme="minorHAnsi"/>
              </w:rPr>
            </w:pPr>
            <w:r w:rsidRPr="006F52E3">
              <w:rPr>
                <w:rFonts w:cstheme="minorHAnsi"/>
              </w:rPr>
              <w:t>- rozdzielczość  min.1920 x 1080,</w:t>
            </w:r>
          </w:p>
          <w:p w:rsidR="006F52E3" w:rsidRPr="006F52E3" w:rsidRDefault="006F52E3" w:rsidP="006F52E3">
            <w:pPr>
              <w:spacing w:after="0" w:line="240" w:lineRule="auto"/>
              <w:rPr>
                <w:rFonts w:cstheme="minorHAnsi"/>
              </w:rPr>
            </w:pPr>
            <w:r w:rsidRPr="006F52E3">
              <w:rPr>
                <w:rFonts w:cstheme="minorHAnsi"/>
              </w:rPr>
              <w:t>- powiększenia: min.2 x min.70 razy,</w:t>
            </w:r>
          </w:p>
          <w:p w:rsidR="006F52E3" w:rsidRPr="006F52E3" w:rsidRDefault="006F52E3" w:rsidP="006F52E3">
            <w:pPr>
              <w:spacing w:after="0" w:line="240" w:lineRule="auto"/>
              <w:rPr>
                <w:rFonts w:cstheme="minorHAnsi"/>
              </w:rPr>
            </w:pPr>
            <w:r w:rsidRPr="006F52E3">
              <w:rPr>
                <w:rFonts w:cstheme="minorHAnsi"/>
              </w:rPr>
              <w:t xml:space="preserve">- tryby </w:t>
            </w:r>
            <w:r w:rsidR="00EF481B">
              <w:rPr>
                <w:rFonts w:cstheme="minorHAnsi"/>
              </w:rPr>
              <w:t>k</w:t>
            </w:r>
            <w:r w:rsidRPr="006F52E3">
              <w:rPr>
                <w:rFonts w:cstheme="minorHAnsi"/>
              </w:rPr>
              <w:t>olorów min. 17, m.in.: kolorowy, negatyw, pozytyw, kolory sztuczne,</w:t>
            </w:r>
          </w:p>
          <w:p w:rsidR="006F52E3" w:rsidRPr="006F52E3" w:rsidRDefault="006F52E3" w:rsidP="006F52E3">
            <w:pPr>
              <w:spacing w:after="0" w:line="240" w:lineRule="auto"/>
              <w:rPr>
                <w:rFonts w:cstheme="minorHAnsi"/>
              </w:rPr>
            </w:pPr>
            <w:r w:rsidRPr="006F52E3">
              <w:rPr>
                <w:rFonts w:cstheme="minorHAnsi"/>
              </w:rPr>
              <w:t>- podświetlenie LED z możliwością wyłączenia,</w:t>
            </w:r>
          </w:p>
          <w:p w:rsidR="006F52E3" w:rsidRPr="006F52E3" w:rsidRDefault="006F52E3" w:rsidP="006F52E3">
            <w:pPr>
              <w:spacing w:after="0" w:line="240" w:lineRule="auto"/>
              <w:rPr>
                <w:rFonts w:cstheme="minorHAnsi"/>
              </w:rPr>
            </w:pPr>
            <w:r w:rsidRPr="006F52E3">
              <w:rPr>
                <w:rFonts w:cstheme="minorHAnsi"/>
              </w:rPr>
              <w:t>- auto-</w:t>
            </w:r>
            <w:proofErr w:type="spellStart"/>
            <w:r w:rsidRPr="006F52E3">
              <w:rPr>
                <w:rFonts w:cstheme="minorHAnsi"/>
              </w:rPr>
              <w:t>focus</w:t>
            </w:r>
            <w:proofErr w:type="spellEnd"/>
            <w:r w:rsidRPr="006F52E3">
              <w:rPr>
                <w:rFonts w:cstheme="minorHAnsi"/>
              </w:rPr>
              <w:t>: funkcja automatycznego ustawiania ostrości z możliwością wyłączenia,</w:t>
            </w:r>
          </w:p>
          <w:p w:rsidR="006F52E3" w:rsidRPr="006F52E3" w:rsidRDefault="006F52E3" w:rsidP="006F52E3">
            <w:pPr>
              <w:spacing w:after="0" w:line="240" w:lineRule="auto"/>
              <w:rPr>
                <w:rFonts w:cstheme="minorHAnsi"/>
              </w:rPr>
            </w:pPr>
            <w:r w:rsidRPr="006F52E3">
              <w:rPr>
                <w:rFonts w:cstheme="minorHAnsi"/>
              </w:rPr>
              <w:t>- funkcja regulowanych znaczników linii i przysłon ułatwiających czytanie tekstu,</w:t>
            </w:r>
          </w:p>
          <w:p w:rsidR="006F52E3" w:rsidRPr="006F52E3" w:rsidRDefault="006F52E3" w:rsidP="006F52E3">
            <w:pPr>
              <w:spacing w:after="0" w:line="240" w:lineRule="auto"/>
              <w:rPr>
                <w:rFonts w:cstheme="minorHAnsi"/>
              </w:rPr>
            </w:pPr>
            <w:r w:rsidRPr="006F52E3">
              <w:rPr>
                <w:rFonts w:cstheme="minorHAnsi"/>
              </w:rPr>
              <w:t>- regulacja jasności,</w:t>
            </w:r>
          </w:p>
          <w:p w:rsidR="006F52E3" w:rsidRPr="006F52E3" w:rsidRDefault="006F52E3" w:rsidP="006F52E3">
            <w:pPr>
              <w:spacing w:after="0" w:line="240" w:lineRule="auto"/>
              <w:rPr>
                <w:rFonts w:cstheme="minorHAnsi"/>
              </w:rPr>
            </w:pPr>
            <w:r w:rsidRPr="006F52E3">
              <w:rPr>
                <w:rFonts w:cstheme="minorHAnsi"/>
              </w:rPr>
              <w:t>- funkcja szybkiego przybliżania i oddalania obrazu,</w:t>
            </w:r>
          </w:p>
          <w:p w:rsidR="006F52E3" w:rsidRPr="006F52E3" w:rsidRDefault="006F52E3" w:rsidP="006F52E3">
            <w:pPr>
              <w:spacing w:after="0" w:line="240" w:lineRule="auto"/>
              <w:rPr>
                <w:rFonts w:cstheme="minorHAnsi"/>
              </w:rPr>
            </w:pPr>
            <w:r w:rsidRPr="006F52E3">
              <w:rPr>
                <w:rFonts w:cstheme="minorHAnsi"/>
              </w:rPr>
              <w:t>- ruchomy stolik (do przesuwania w pozycji poziomej i pionowej) z funkcją blokady ułatwiający nawigację po oglądanych dokumentach - wymiary min. 29 x min.42 cm,</w:t>
            </w:r>
          </w:p>
          <w:p w:rsidR="006F52E3" w:rsidRPr="006F52E3" w:rsidRDefault="006F52E3" w:rsidP="006F52E3">
            <w:pPr>
              <w:spacing w:after="0" w:line="240" w:lineRule="auto"/>
              <w:rPr>
                <w:rFonts w:cstheme="minorHAnsi"/>
              </w:rPr>
            </w:pPr>
            <w:r w:rsidRPr="006F52E3">
              <w:rPr>
                <w:rFonts w:cstheme="minorHAnsi"/>
              </w:rPr>
              <w:t xml:space="preserve">- możliwość regulowania wysokości, oraz kąta nachylenia monitora, </w:t>
            </w:r>
          </w:p>
          <w:p w:rsidR="006F52E3" w:rsidRPr="006F52E3" w:rsidRDefault="006F52E3" w:rsidP="006F52E3">
            <w:pPr>
              <w:spacing w:after="0" w:line="240" w:lineRule="auto"/>
              <w:rPr>
                <w:rFonts w:cstheme="minorHAnsi"/>
              </w:rPr>
            </w:pPr>
            <w:r w:rsidRPr="006F52E3">
              <w:rPr>
                <w:rFonts w:cstheme="minorHAnsi"/>
              </w:rPr>
              <w:t xml:space="preserve">- wymiary: </w:t>
            </w:r>
            <w:r>
              <w:rPr>
                <w:rFonts w:cstheme="minorHAnsi"/>
              </w:rPr>
              <w:t xml:space="preserve"> min.</w:t>
            </w:r>
            <w:r w:rsidRPr="006F52E3">
              <w:rPr>
                <w:rFonts w:cstheme="minorHAnsi"/>
              </w:rPr>
              <w:t xml:space="preserve">54 </w:t>
            </w:r>
            <w:r>
              <w:rPr>
                <w:rFonts w:cstheme="minorHAnsi"/>
              </w:rPr>
              <w:t xml:space="preserve">– max </w:t>
            </w:r>
            <w:r w:rsidRPr="006F52E3">
              <w:rPr>
                <w:rFonts w:cstheme="minorHAnsi"/>
              </w:rPr>
              <w:t xml:space="preserve">56 cm x </w:t>
            </w:r>
            <w:r>
              <w:rPr>
                <w:rFonts w:cstheme="minorHAnsi"/>
              </w:rPr>
              <w:t xml:space="preserve"> min. </w:t>
            </w:r>
            <w:r w:rsidRPr="006F52E3">
              <w:rPr>
                <w:rFonts w:cstheme="minorHAnsi"/>
              </w:rPr>
              <w:t>47-</w:t>
            </w:r>
            <w:r>
              <w:rPr>
                <w:rFonts w:cstheme="minorHAnsi"/>
              </w:rPr>
              <w:t xml:space="preserve"> max. </w:t>
            </w:r>
            <w:r w:rsidRPr="006F52E3">
              <w:rPr>
                <w:rFonts w:cstheme="minorHAnsi"/>
              </w:rPr>
              <w:t>50 cm x</w:t>
            </w:r>
            <w:r>
              <w:rPr>
                <w:rFonts w:cstheme="minorHAnsi"/>
              </w:rPr>
              <w:t xml:space="preserve"> min.</w:t>
            </w:r>
            <w:r w:rsidRPr="006F52E3">
              <w:rPr>
                <w:rFonts w:cstheme="minorHAnsi"/>
              </w:rPr>
              <w:t xml:space="preserve"> 36-</w:t>
            </w:r>
            <w:r>
              <w:rPr>
                <w:rFonts w:cstheme="minorHAnsi"/>
              </w:rPr>
              <w:t xml:space="preserve"> max. </w:t>
            </w:r>
            <w:r w:rsidRPr="006F52E3">
              <w:rPr>
                <w:rFonts w:cstheme="minorHAnsi"/>
              </w:rPr>
              <w:t>40 cm (wys. x szer. x gł.),</w:t>
            </w:r>
          </w:p>
          <w:p w:rsidR="006F52E3" w:rsidRPr="006F52E3" w:rsidRDefault="006F52E3" w:rsidP="006F52E3">
            <w:pPr>
              <w:spacing w:after="0" w:line="240" w:lineRule="auto"/>
              <w:rPr>
                <w:rFonts w:cstheme="minorHAnsi"/>
              </w:rPr>
            </w:pPr>
            <w:r w:rsidRPr="006F52E3">
              <w:rPr>
                <w:rFonts w:cstheme="minorHAnsi"/>
              </w:rPr>
              <w:t>waga: min.15 kg- max 16,5 kg,</w:t>
            </w:r>
          </w:p>
          <w:p w:rsidR="00490DDD" w:rsidRPr="00D8752C" w:rsidRDefault="006F52E3" w:rsidP="006F52E3">
            <w:pPr>
              <w:spacing w:after="0" w:line="240" w:lineRule="auto"/>
              <w:rPr>
                <w:rFonts w:cstheme="minorHAnsi"/>
                <w:lang w:val="en-GB"/>
              </w:rPr>
            </w:pPr>
            <w:r w:rsidRPr="006F52E3">
              <w:rPr>
                <w:rFonts w:cstheme="minorHAnsi"/>
              </w:rPr>
              <w:t xml:space="preserve">zasilanie: sieciowe 100 – 240V 50/60 </w:t>
            </w:r>
            <w:proofErr w:type="spellStart"/>
            <w:r w:rsidRPr="006F52E3">
              <w:rPr>
                <w:rFonts w:cstheme="minorHAnsi"/>
              </w:rPr>
              <w:t>Hz</w:t>
            </w:r>
            <w:proofErr w:type="spellEnd"/>
            <w:r w:rsidRPr="006F52E3">
              <w:rPr>
                <w:rFonts w:cstheme="minorHAnsi"/>
              </w:rPr>
              <w:t>.</w:t>
            </w:r>
          </w:p>
        </w:tc>
        <w:tc>
          <w:tcPr>
            <w:tcW w:w="1276" w:type="dxa"/>
          </w:tcPr>
          <w:p w:rsidR="00B27E94" w:rsidRPr="00D8752C" w:rsidRDefault="006F52E3" w:rsidP="00630A56">
            <w:pPr>
              <w:spacing w:after="0" w:line="240" w:lineRule="auto"/>
              <w:rPr>
                <w:rFonts w:cstheme="minorHAnsi"/>
              </w:rPr>
            </w:pPr>
            <w:r>
              <w:rPr>
                <w:rFonts w:cstheme="minorHAnsi"/>
              </w:rPr>
              <w:t>2</w:t>
            </w:r>
          </w:p>
        </w:tc>
      </w:tr>
    </w:tbl>
    <w:p w:rsidR="00B46AE9" w:rsidRDefault="00B46AE9" w:rsidP="000E48DE">
      <w:pPr>
        <w:tabs>
          <w:tab w:val="left" w:pos="426"/>
        </w:tabs>
        <w:spacing w:after="0"/>
        <w:jc w:val="both"/>
      </w:pPr>
    </w:p>
    <w:p w:rsidR="000E48DE" w:rsidRDefault="00541BA8" w:rsidP="000E48DE">
      <w:pPr>
        <w:tabs>
          <w:tab w:val="left" w:pos="426"/>
        </w:tabs>
        <w:spacing w:after="0"/>
        <w:jc w:val="both"/>
      </w:pPr>
      <w:r>
        <w:t>5</w:t>
      </w:r>
      <w:r w:rsidR="000E48DE">
        <w:t>.</w:t>
      </w:r>
      <w:r w:rsidR="000E48DE">
        <w:tab/>
        <w:t>Opis oceny równoważności:</w:t>
      </w:r>
    </w:p>
    <w:p w:rsidR="000E48DE" w:rsidRDefault="000E48DE" w:rsidP="000E48DE">
      <w:pPr>
        <w:jc w:val="both"/>
      </w:pPr>
      <w:r>
        <w:t xml:space="preserve">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t>
      </w:r>
      <w:r>
        <w:lastRenderedPageBreak/>
        <w:t>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0E48DE" w:rsidRDefault="00541BA8" w:rsidP="000E48DE">
      <w:pPr>
        <w:tabs>
          <w:tab w:val="left" w:pos="426"/>
        </w:tabs>
        <w:spacing w:after="0"/>
      </w:pPr>
      <w:r>
        <w:t>6</w:t>
      </w:r>
      <w:r w:rsidR="000E48DE">
        <w:t>.</w:t>
      </w:r>
      <w:r w:rsidR="000E48DE">
        <w:tab/>
        <w:t>Termin wykonania zamówienia:</w:t>
      </w:r>
    </w:p>
    <w:p w:rsidR="00692236" w:rsidRDefault="00DE0A5B" w:rsidP="000E48DE">
      <w:r>
        <w:t>W ciągu 10</w:t>
      </w:r>
      <w:bookmarkStart w:id="0" w:name="_GoBack"/>
      <w:bookmarkEnd w:id="0"/>
      <w:r w:rsidR="000E48DE">
        <w:t xml:space="preserve"> dni od daty zawarcia umowy (termin realizacji zamówienia stanowi kryterium oceny ofert).</w:t>
      </w:r>
    </w:p>
    <w:sectPr w:rsidR="00692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23" w:rsidRDefault="00DC5B23" w:rsidP="00692236">
      <w:pPr>
        <w:spacing w:after="0" w:line="240" w:lineRule="auto"/>
      </w:pPr>
      <w:r>
        <w:separator/>
      </w:r>
    </w:p>
  </w:endnote>
  <w:endnote w:type="continuationSeparator" w:id="0">
    <w:p w:rsidR="00DC5B23" w:rsidRDefault="00DC5B23"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DE0A5B">
          <w:rPr>
            <w:noProof/>
          </w:rPr>
          <w:t>2</w:t>
        </w:r>
        <w:r>
          <w:fldChar w:fldCharType="end"/>
        </w:r>
      </w:p>
    </w:sdtContent>
  </w:sdt>
  <w:p w:rsidR="00692236" w:rsidRDefault="006922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23" w:rsidRDefault="00DC5B23" w:rsidP="00692236">
      <w:pPr>
        <w:spacing w:after="0" w:line="240" w:lineRule="auto"/>
      </w:pPr>
      <w:r>
        <w:separator/>
      </w:r>
    </w:p>
  </w:footnote>
  <w:footnote w:type="continuationSeparator" w:id="0">
    <w:p w:rsidR="00DC5B23" w:rsidRDefault="00DC5B23" w:rsidP="00692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2"/>
  </w:num>
  <w:num w:numId="6">
    <w:abstractNumId w:val="4"/>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36"/>
    <w:rsid w:val="000A3ACF"/>
    <w:rsid w:val="000E48DE"/>
    <w:rsid w:val="000E78EC"/>
    <w:rsid w:val="00366D2B"/>
    <w:rsid w:val="00444815"/>
    <w:rsid w:val="00445D11"/>
    <w:rsid w:val="00490DDD"/>
    <w:rsid w:val="00541BA8"/>
    <w:rsid w:val="00547E0D"/>
    <w:rsid w:val="00551009"/>
    <w:rsid w:val="00692236"/>
    <w:rsid w:val="00692B70"/>
    <w:rsid w:val="006F52E3"/>
    <w:rsid w:val="007B1C0D"/>
    <w:rsid w:val="007F1E4F"/>
    <w:rsid w:val="00842A4F"/>
    <w:rsid w:val="00950060"/>
    <w:rsid w:val="00B27E94"/>
    <w:rsid w:val="00B46AE9"/>
    <w:rsid w:val="00C713E8"/>
    <w:rsid w:val="00C9214D"/>
    <w:rsid w:val="00D36ADD"/>
    <w:rsid w:val="00D9319F"/>
    <w:rsid w:val="00DC5B23"/>
    <w:rsid w:val="00DE0A5B"/>
    <w:rsid w:val="00E002DB"/>
    <w:rsid w:val="00E01D7F"/>
    <w:rsid w:val="00E13AAC"/>
    <w:rsid w:val="00E51FEA"/>
    <w:rsid w:val="00EF481B"/>
    <w:rsid w:val="00EF65C3"/>
    <w:rsid w:val="00F97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0E48DE"/>
    <w:pPr>
      <w:ind w:left="720"/>
      <w:contextualSpacing/>
    </w:pPr>
  </w:style>
  <w:style w:type="paragraph" w:styleId="Tekstdymka">
    <w:name w:val="Balloon Text"/>
    <w:basedOn w:val="Normalny"/>
    <w:link w:val="TekstdymkaZnak"/>
    <w:uiPriority w:val="99"/>
    <w:semiHidden/>
    <w:unhideWhenUsed/>
    <w:rsid w:val="00F97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0E48DE"/>
    <w:pPr>
      <w:ind w:left="720"/>
      <w:contextualSpacing/>
    </w:pPr>
  </w:style>
  <w:style w:type="paragraph" w:styleId="Tekstdymka">
    <w:name w:val="Balloon Text"/>
    <w:basedOn w:val="Normalny"/>
    <w:link w:val="TekstdymkaZnak"/>
    <w:uiPriority w:val="99"/>
    <w:semiHidden/>
    <w:unhideWhenUsed/>
    <w:rsid w:val="00F97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7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F025-1508-4D4F-B869-27E80C62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Marta Idzikowska</cp:lastModifiedBy>
  <cp:revision>14</cp:revision>
  <dcterms:created xsi:type="dcterms:W3CDTF">2022-05-19T10:10:00Z</dcterms:created>
  <dcterms:modified xsi:type="dcterms:W3CDTF">2022-11-17T11:19:00Z</dcterms:modified>
</cp:coreProperties>
</file>